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eastAsia="黑体"/>
          <w:b/>
          <w:sz w:val="32"/>
        </w:rPr>
      </w:pPr>
    </w:p>
    <w:p>
      <w:pPr>
        <w:widowControl/>
        <w:spacing w:line="360" w:lineRule="auto"/>
        <w:jc w:val="center"/>
        <w:rPr>
          <w:rFonts w:ascii="黑体" w:eastAsia="黑体"/>
          <w:b/>
          <w:sz w:val="32"/>
        </w:rPr>
      </w:pPr>
      <w:r>
        <w:rPr>
          <w:rFonts w:hint="eastAsia" w:ascii="黑体" w:eastAsia="黑体"/>
          <w:b/>
          <w:sz w:val="32"/>
        </w:rPr>
        <w:t>计量技术规范</w:t>
      </w:r>
    </w:p>
    <w:p>
      <w:pPr>
        <w:widowControl/>
        <w:spacing w:line="360" w:lineRule="auto"/>
        <w:jc w:val="center"/>
        <w:rPr>
          <w:rFonts w:ascii="黑体" w:eastAsia="黑体"/>
          <w:b/>
          <w:sz w:val="32"/>
        </w:rPr>
      </w:pPr>
    </w:p>
    <w:p>
      <w:pPr>
        <w:widowControl/>
        <w:jc w:val="center"/>
        <w:rPr>
          <w:rFonts w:ascii="黑体" w:eastAsia="黑体"/>
          <w:b/>
          <w:sz w:val="40"/>
        </w:rPr>
      </w:pPr>
      <w:r>
        <w:rPr>
          <w:rFonts w:ascii="黑体" w:eastAsia="黑体"/>
          <w:b/>
          <w:sz w:val="40"/>
        </w:rPr>
        <w:t>《</w:t>
      </w:r>
      <w:r>
        <w:rPr>
          <w:rFonts w:hint="eastAsia" w:ascii="黑体" w:eastAsia="黑体"/>
          <w:b/>
          <w:sz w:val="40"/>
        </w:rPr>
        <w:t>试听室声学特性测试技术规范</w:t>
      </w:r>
      <w:r>
        <w:rPr>
          <w:rFonts w:ascii="黑体" w:eastAsia="黑体"/>
          <w:b/>
          <w:sz w:val="40"/>
        </w:rPr>
        <w:t>》</w:t>
      </w:r>
    </w:p>
    <w:p>
      <w:pPr>
        <w:widowControl/>
        <w:jc w:val="center"/>
        <w:rPr>
          <w:rFonts w:ascii="黑体" w:eastAsia="黑体"/>
          <w:b/>
          <w:sz w:val="40"/>
        </w:rPr>
      </w:pPr>
    </w:p>
    <w:p>
      <w:pPr>
        <w:widowControl/>
        <w:jc w:val="center"/>
        <w:rPr>
          <w:rFonts w:asciiTheme="minorEastAsia" w:hAnsiTheme="minorEastAsia" w:eastAsiaTheme="minorEastAsia"/>
          <w:b/>
          <w:sz w:val="32"/>
        </w:rPr>
      </w:pPr>
    </w:p>
    <w:p>
      <w:pPr>
        <w:widowControl/>
        <w:jc w:val="center"/>
        <w:rPr>
          <w:rFonts w:asciiTheme="minorEastAsia" w:hAnsiTheme="minorEastAsia" w:eastAsiaTheme="minorEastAsia"/>
          <w:b/>
          <w:sz w:val="32"/>
        </w:rPr>
      </w:pPr>
      <w:r>
        <w:rPr>
          <w:rFonts w:asciiTheme="minorEastAsia" w:hAnsiTheme="minorEastAsia" w:eastAsiaTheme="minorEastAsia"/>
          <w:b/>
          <w:sz w:val="32"/>
        </w:rPr>
        <w:t>编制说明</w:t>
      </w:r>
    </w:p>
    <w:p>
      <w:pPr>
        <w:widowControl/>
        <w:jc w:val="center"/>
        <w:rPr>
          <w:rFonts w:asciiTheme="minorEastAsia" w:hAnsiTheme="minorEastAsia" w:eastAsiaTheme="minorEastAsia"/>
          <w:b/>
          <w:sz w:val="32"/>
        </w:rPr>
      </w:pPr>
    </w:p>
    <w:p>
      <w:pPr>
        <w:widowControl/>
        <w:jc w:val="center"/>
        <w:rPr>
          <w:rFonts w:asciiTheme="minorEastAsia" w:hAnsiTheme="minorEastAsia" w:eastAsiaTheme="minorEastAsia"/>
          <w:b/>
          <w:sz w:val="32"/>
        </w:rPr>
      </w:pPr>
    </w:p>
    <w:p>
      <w:pPr>
        <w:widowControl/>
        <w:jc w:val="center"/>
        <w:rPr>
          <w:rFonts w:asciiTheme="minorEastAsia" w:hAnsiTheme="minorEastAsia" w:eastAsiaTheme="minorEastAsia"/>
          <w:b/>
          <w:sz w:val="32"/>
        </w:rPr>
      </w:pPr>
    </w:p>
    <w:p>
      <w:pPr>
        <w:widowControl/>
        <w:jc w:val="center"/>
        <w:rPr>
          <w:rFonts w:asciiTheme="minorEastAsia" w:hAnsiTheme="minorEastAsia" w:eastAsiaTheme="minorEastAsia"/>
          <w:b/>
          <w:sz w:val="32"/>
        </w:rPr>
      </w:pPr>
    </w:p>
    <w:p>
      <w:pPr>
        <w:widowControl/>
        <w:jc w:val="center"/>
        <w:rPr>
          <w:rFonts w:asciiTheme="minorEastAsia" w:hAnsiTheme="minorEastAsia" w:eastAsiaTheme="minorEastAsia"/>
          <w:b/>
          <w:sz w:val="32"/>
        </w:rPr>
      </w:pPr>
    </w:p>
    <w:p>
      <w:pPr>
        <w:widowControl/>
        <w:jc w:val="center"/>
        <w:rPr>
          <w:rFonts w:asciiTheme="minorEastAsia" w:hAnsiTheme="minorEastAsia" w:eastAsiaTheme="minorEastAsia"/>
          <w:b/>
          <w:sz w:val="32"/>
        </w:rPr>
      </w:pPr>
    </w:p>
    <w:p>
      <w:pPr>
        <w:widowControl/>
        <w:jc w:val="center"/>
        <w:rPr>
          <w:rFonts w:asciiTheme="minorEastAsia" w:hAnsiTheme="minorEastAsia" w:eastAsiaTheme="minorEastAsia"/>
          <w:b/>
          <w:sz w:val="32"/>
        </w:rPr>
      </w:pPr>
    </w:p>
    <w:p>
      <w:pPr>
        <w:widowControl/>
        <w:jc w:val="center"/>
        <w:rPr>
          <w:rFonts w:asciiTheme="minorEastAsia" w:hAnsiTheme="minorEastAsia" w:eastAsiaTheme="minorEastAsia"/>
          <w:b/>
          <w:sz w:val="32"/>
        </w:rPr>
      </w:pPr>
    </w:p>
    <w:p>
      <w:pPr>
        <w:widowControl/>
        <w:jc w:val="center"/>
        <w:rPr>
          <w:rFonts w:asciiTheme="minorEastAsia" w:hAnsiTheme="minorEastAsia" w:eastAsiaTheme="minorEastAsia"/>
          <w:b/>
          <w:sz w:val="32"/>
        </w:rPr>
      </w:pPr>
    </w:p>
    <w:p>
      <w:pPr>
        <w:widowControl/>
        <w:jc w:val="center"/>
        <w:rPr>
          <w:rFonts w:asciiTheme="minorEastAsia" w:hAnsiTheme="minorEastAsia" w:eastAsiaTheme="minorEastAsia"/>
          <w:b/>
          <w:sz w:val="32"/>
        </w:rPr>
      </w:pPr>
    </w:p>
    <w:p>
      <w:pPr>
        <w:widowControl/>
        <w:jc w:val="center"/>
        <w:rPr>
          <w:rFonts w:asciiTheme="minorEastAsia" w:hAnsiTheme="minorEastAsia" w:eastAsiaTheme="minorEastAsia"/>
          <w:b/>
          <w:sz w:val="32"/>
        </w:rPr>
      </w:pPr>
    </w:p>
    <w:p>
      <w:pPr>
        <w:widowControl/>
        <w:jc w:val="center"/>
        <w:rPr>
          <w:rFonts w:asciiTheme="minorEastAsia" w:hAnsiTheme="minorEastAsia" w:eastAsiaTheme="minorEastAsia"/>
          <w:b/>
          <w:sz w:val="24"/>
        </w:rPr>
      </w:pPr>
      <w:r>
        <w:rPr>
          <w:rFonts w:hint="eastAsia" w:asciiTheme="minorEastAsia" w:hAnsiTheme="minorEastAsia" w:eastAsiaTheme="minorEastAsia"/>
          <w:b/>
          <w:sz w:val="24"/>
        </w:rPr>
        <w:t>《</w:t>
      </w:r>
      <w:r>
        <w:rPr>
          <w:rFonts w:hint="eastAsia" w:asciiTheme="minorEastAsia" w:hAnsiTheme="minorEastAsia" w:eastAsiaTheme="minorEastAsia"/>
          <w:b/>
          <w:sz w:val="32"/>
        </w:rPr>
        <w:t>试听室声学特性测试技术规范</w:t>
      </w:r>
      <w:r>
        <w:rPr>
          <w:rFonts w:hint="eastAsia" w:asciiTheme="minorEastAsia" w:hAnsiTheme="minorEastAsia" w:eastAsiaTheme="minorEastAsia"/>
          <w:b/>
          <w:sz w:val="24"/>
        </w:rPr>
        <w:t>》</w:t>
      </w:r>
    </w:p>
    <w:p>
      <w:pPr>
        <w:widowControl/>
        <w:jc w:val="center"/>
        <w:rPr>
          <w:rFonts w:asciiTheme="minorEastAsia" w:hAnsiTheme="minorEastAsia" w:eastAsiaTheme="minorEastAsia"/>
          <w:b/>
          <w:sz w:val="32"/>
        </w:rPr>
      </w:pPr>
      <w:r>
        <w:rPr>
          <w:rFonts w:asciiTheme="minorEastAsia" w:hAnsiTheme="minorEastAsia" w:eastAsiaTheme="minorEastAsia"/>
          <w:b/>
          <w:sz w:val="32"/>
        </w:rPr>
        <w:t>编制工作组</w:t>
      </w:r>
    </w:p>
    <w:p>
      <w:pPr>
        <w:widowControl/>
        <w:jc w:val="center"/>
        <w:rPr>
          <w:rFonts w:eastAsiaTheme="minorEastAsia"/>
          <w:sz w:val="32"/>
        </w:rPr>
      </w:pPr>
      <w:r>
        <w:rPr>
          <w:rFonts w:eastAsiaTheme="minorEastAsia"/>
          <w:sz w:val="32"/>
        </w:rPr>
        <w:t>202</w:t>
      </w:r>
      <w:r>
        <w:rPr>
          <w:rFonts w:hint="eastAsia" w:eastAsiaTheme="minorEastAsia"/>
          <w:sz w:val="32"/>
        </w:rPr>
        <w:t>6</w:t>
      </w:r>
      <w:r>
        <w:rPr>
          <w:rFonts w:eastAsiaTheme="minorEastAsia"/>
          <w:sz w:val="32"/>
        </w:rPr>
        <w:t>.</w:t>
      </w:r>
      <w:r>
        <w:rPr>
          <w:rFonts w:hint="eastAsia" w:eastAsiaTheme="minorEastAsia"/>
          <w:sz w:val="32"/>
        </w:rPr>
        <w:t>6</w:t>
      </w:r>
      <w:r>
        <w:rPr>
          <w:rFonts w:eastAsiaTheme="minorEastAsia"/>
          <w:sz w:val="32"/>
        </w:rPr>
        <w:t>.</w:t>
      </w:r>
      <w:r>
        <w:rPr>
          <w:rFonts w:hint="eastAsia" w:eastAsiaTheme="minorEastAsia"/>
          <w:sz w:val="32"/>
        </w:rPr>
        <w:t>28</w:t>
      </w:r>
    </w:p>
    <w:p>
      <w:pPr>
        <w:widowControl/>
        <w:jc w:val="left"/>
        <w:rPr>
          <w:rFonts w:ascii="黑体" w:eastAsia="黑体"/>
          <w:b/>
          <w:sz w:val="32"/>
        </w:rPr>
      </w:pPr>
    </w:p>
    <w:p>
      <w:pPr>
        <w:spacing w:line="400" w:lineRule="exact"/>
        <w:ind w:firstLine="643" w:firstLineChars="200"/>
        <w:jc w:val="center"/>
        <w:rPr>
          <w:rFonts w:ascii="黑体" w:eastAsia="黑体"/>
          <w:b/>
          <w:sz w:val="32"/>
        </w:rPr>
      </w:pPr>
      <w:r>
        <w:rPr>
          <w:rFonts w:hint="eastAsia" w:ascii="黑体" w:eastAsia="黑体"/>
          <w:b/>
          <w:sz w:val="32"/>
        </w:rPr>
        <w:t>《试听室声学特性测试技术规范》</w:t>
      </w:r>
      <w:r>
        <w:rPr>
          <w:rFonts w:hint="eastAsia" w:asciiTheme="minorEastAsia" w:hAnsiTheme="minorEastAsia" w:eastAsiaTheme="minorEastAsia"/>
          <w:sz w:val="32"/>
        </w:rPr>
        <w:t>（讨论稿）</w:t>
      </w:r>
    </w:p>
    <w:p>
      <w:pPr>
        <w:spacing w:line="360" w:lineRule="auto"/>
        <w:ind w:firstLine="640" w:firstLineChars="200"/>
        <w:jc w:val="center"/>
        <w:rPr>
          <w:rFonts w:asciiTheme="minorEastAsia" w:hAnsiTheme="minorEastAsia" w:eastAsiaTheme="minorEastAsia"/>
          <w:sz w:val="32"/>
        </w:rPr>
      </w:pPr>
    </w:p>
    <w:p>
      <w:pPr>
        <w:spacing w:line="360" w:lineRule="auto"/>
        <w:ind w:firstLine="640" w:firstLineChars="200"/>
        <w:jc w:val="center"/>
        <w:rPr>
          <w:rFonts w:asciiTheme="minorEastAsia" w:hAnsiTheme="minorEastAsia" w:eastAsiaTheme="minorEastAsia"/>
          <w:sz w:val="32"/>
        </w:rPr>
      </w:pPr>
      <w:r>
        <w:rPr>
          <w:rFonts w:hint="eastAsia" w:asciiTheme="minorEastAsia" w:hAnsiTheme="minorEastAsia" w:eastAsiaTheme="minorEastAsia"/>
          <w:sz w:val="32"/>
        </w:rPr>
        <w:t>编制说明</w:t>
      </w:r>
    </w:p>
    <w:p>
      <w:pPr>
        <w:numPr>
          <w:ilvl w:val="0"/>
          <w:numId w:val="1"/>
        </w:numPr>
        <w:spacing w:before="156" w:beforeLines="50" w:after="156" w:afterLines="50" w:line="360" w:lineRule="auto"/>
        <w:ind w:left="410" w:hanging="410" w:hangingChars="170"/>
        <w:rPr>
          <w:rFonts w:ascii="黑体" w:eastAsia="黑体"/>
          <w:b/>
          <w:sz w:val="24"/>
        </w:rPr>
      </w:pPr>
      <w:r>
        <w:rPr>
          <w:rFonts w:hint="eastAsia" w:ascii="黑体" w:hAnsi="宋体" w:eastAsia="黑体"/>
          <w:b/>
          <w:sz w:val="24"/>
        </w:rPr>
        <w:t>任务来源及项目意义</w:t>
      </w:r>
    </w:p>
    <w:p>
      <w:pPr>
        <w:pStyle w:val="9"/>
        <w:numPr>
          <w:ilvl w:val="1"/>
          <w:numId w:val="1"/>
        </w:numPr>
        <w:spacing w:line="400" w:lineRule="exact"/>
        <w:ind w:left="0" w:firstLine="480"/>
        <w:rPr>
          <w:sz w:val="24"/>
        </w:rPr>
      </w:pPr>
      <w:r>
        <w:rPr>
          <w:sz w:val="24"/>
        </w:rPr>
        <w:t>依据国家市场监督管理局下达的</w:t>
      </w:r>
      <w:r>
        <w:rPr>
          <w:rFonts w:hint="eastAsia"/>
          <w:sz w:val="24"/>
        </w:rPr>
        <w:t>“2</w:t>
      </w:r>
      <w:r>
        <w:rPr>
          <w:sz w:val="24"/>
        </w:rPr>
        <w:t>025年国家计量技术法规文件制定</w:t>
      </w:r>
      <w:r>
        <w:rPr>
          <w:rFonts w:hint="eastAsia"/>
          <w:sz w:val="24"/>
        </w:rPr>
        <w:t>/</w:t>
      </w:r>
      <w:r>
        <w:rPr>
          <w:sz w:val="24"/>
        </w:rPr>
        <w:t>修订工作有关事项的通知</w:t>
      </w:r>
      <w:r>
        <w:rPr>
          <w:rFonts w:hint="eastAsia"/>
          <w:sz w:val="24"/>
        </w:rPr>
        <w:t>”，本规范计划名称“试听室声学特性测试技术规范”。</w:t>
      </w:r>
    </w:p>
    <w:p>
      <w:pPr>
        <w:pStyle w:val="9"/>
        <w:numPr>
          <w:ilvl w:val="1"/>
          <w:numId w:val="1"/>
        </w:numPr>
        <w:spacing w:line="400" w:lineRule="exact"/>
        <w:ind w:left="0" w:firstLine="480"/>
        <w:rPr>
          <w:sz w:val="24"/>
        </w:rPr>
      </w:pPr>
      <w:r>
        <w:rPr>
          <w:sz w:val="24"/>
        </w:rPr>
        <w:t>本规范由广东省计量科学研究院、中国计量科学研究院、广州计量检测技术研究院</w:t>
      </w:r>
      <w:r>
        <w:rPr>
          <w:rFonts w:hint="eastAsia"/>
          <w:sz w:val="24"/>
        </w:rPr>
        <w:t>、</w:t>
      </w:r>
      <w:r>
        <w:rPr>
          <w:sz w:val="24"/>
        </w:rPr>
        <w:t>北京朗德科技有限公司、东莞同瀚测控技术有限公司</w:t>
      </w:r>
      <w:r>
        <w:rPr>
          <w:rFonts w:hint="eastAsia"/>
          <w:sz w:val="24"/>
        </w:rPr>
        <w:t>共同起草，计划于2</w:t>
      </w:r>
      <w:r>
        <w:rPr>
          <w:sz w:val="24"/>
        </w:rPr>
        <w:t>02</w:t>
      </w:r>
      <w:r>
        <w:rPr>
          <w:rFonts w:hint="eastAsia"/>
          <w:sz w:val="24"/>
        </w:rPr>
        <w:t>6</w:t>
      </w:r>
      <w:r>
        <w:rPr>
          <w:sz w:val="24"/>
        </w:rPr>
        <w:t>年第</w:t>
      </w:r>
      <w:r>
        <w:rPr>
          <w:rFonts w:hint="eastAsia"/>
          <w:sz w:val="24"/>
        </w:rPr>
        <w:t>二</w:t>
      </w:r>
      <w:r>
        <w:rPr>
          <w:sz w:val="24"/>
        </w:rPr>
        <w:t>季度完成并报批</w:t>
      </w:r>
      <w:r>
        <w:rPr>
          <w:rFonts w:hint="eastAsia"/>
          <w:sz w:val="24"/>
        </w:rPr>
        <w:t>。</w:t>
      </w:r>
    </w:p>
    <w:p>
      <w:pPr>
        <w:pStyle w:val="9"/>
        <w:numPr>
          <w:ilvl w:val="1"/>
          <w:numId w:val="1"/>
        </w:numPr>
        <w:spacing w:line="400" w:lineRule="exact"/>
        <w:ind w:left="0" w:firstLine="480"/>
        <w:rPr>
          <w:sz w:val="24"/>
        </w:rPr>
      </w:pPr>
      <w:r>
        <w:rPr>
          <w:sz w:val="24"/>
        </w:rPr>
        <w:t>试听室是集声学设计、设备配置和装修装饰于一体的专业房间，旨在为声音设备或产品的音质评价提供一个稳定、准确的声学环境。随着人工智能（AI）技术的飞速发展，试听室在语音识别测试、研发方面的应用也愈发重要。试听室主要用于对电声产品、设备、系统进行听感试验和评价，其声学特性直接关系到音质评价的准确性和可靠性。目前国家制订了GB/T 51091-2015《试听室工程技术规范》、GB/T 12060.13-2011《声系统设备 第13部分：扬声器听音试验》等标准，国际上标准有IEC/TR 60268-13:1998《Sound system equipment - Part 13: Listening tests on loudspeakers》</w:t>
      </w:r>
      <w:r>
        <w:rPr>
          <w:rFonts w:hint="eastAsia"/>
          <w:sz w:val="24"/>
        </w:rPr>
        <w:t>。</w:t>
      </w:r>
      <w:r>
        <w:rPr>
          <w:sz w:val="24"/>
        </w:rPr>
        <w:t>然而，对于已建成并投入使用的试听室（包括用于电声产品音质评价、语音识别测试等用途），目前尚无专门的计量技术规范对其声学特性（如</w:t>
      </w:r>
      <w:bookmarkStart w:id="0" w:name="OLE_LINK10"/>
      <w:bookmarkStart w:id="1" w:name="OLE_LINK9"/>
      <w:r>
        <w:rPr>
          <w:sz w:val="24"/>
        </w:rPr>
        <w:t>混响时间、声压级均匀性、背景噪声、隔声量、撞击声压级</w:t>
      </w:r>
      <w:bookmarkEnd w:id="0"/>
      <w:bookmarkEnd w:id="1"/>
      <w:r>
        <w:rPr>
          <w:sz w:val="24"/>
        </w:rPr>
        <w:t>等）进行系统、统一的测试与评价。为了满足试听室声学特性测试的量值溯源要求，保障音质评价和语音识别测试结果的准确可靠，需要制定《试听室声学特性测试</w:t>
      </w:r>
      <w:r>
        <w:rPr>
          <w:rFonts w:hint="eastAsia"/>
          <w:sz w:val="24"/>
        </w:rPr>
        <w:t>技术</w:t>
      </w:r>
      <w:r>
        <w:rPr>
          <w:sz w:val="24"/>
        </w:rPr>
        <w:t>规范》，以规范和指导其测试工作，做到有“法”可依。</w:t>
      </w:r>
    </w:p>
    <w:p>
      <w:pPr>
        <w:numPr>
          <w:ilvl w:val="0"/>
          <w:numId w:val="1"/>
        </w:numPr>
        <w:spacing w:before="156" w:beforeLines="50" w:after="156" w:afterLines="50" w:line="480" w:lineRule="exact"/>
        <w:rPr>
          <w:rFonts w:ascii="黑体" w:hAnsi="宋体" w:eastAsia="黑体"/>
          <w:b/>
          <w:sz w:val="24"/>
        </w:rPr>
      </w:pPr>
      <w:r>
        <w:rPr>
          <w:rFonts w:hint="eastAsia" w:ascii="黑体" w:hAnsi="宋体" w:eastAsia="黑体"/>
          <w:b/>
          <w:sz w:val="24"/>
        </w:rPr>
        <w:t>编制依据</w:t>
      </w:r>
    </w:p>
    <w:p>
      <w:pPr>
        <w:spacing w:line="400" w:lineRule="exact"/>
        <w:ind w:firstLine="480" w:firstLineChars="200"/>
        <w:rPr>
          <w:sz w:val="24"/>
        </w:rPr>
      </w:pPr>
      <w:r>
        <w:rPr>
          <w:sz w:val="24"/>
        </w:rPr>
        <w:t>本规范依据</w:t>
      </w:r>
      <w:r>
        <w:rPr>
          <w:rFonts w:hint="eastAsia"/>
          <w:sz w:val="24"/>
        </w:rPr>
        <w:t>J</w:t>
      </w:r>
      <w:r>
        <w:rPr>
          <w:sz w:val="24"/>
        </w:rPr>
        <w:t>JF 1071-2010</w:t>
      </w:r>
      <w:r>
        <w:rPr>
          <w:rFonts w:hint="eastAsia"/>
          <w:sz w:val="24"/>
        </w:rPr>
        <w:t>《国家计量标准校准规范编写规则》给出的规则和格式编制。</w:t>
      </w:r>
    </w:p>
    <w:p>
      <w:pPr>
        <w:spacing w:line="400" w:lineRule="exact"/>
        <w:ind w:firstLine="480" w:firstLineChars="200"/>
        <w:rPr>
          <w:sz w:val="24"/>
        </w:rPr>
      </w:pPr>
      <w:r>
        <w:rPr>
          <w:rFonts w:hint="eastAsia"/>
          <w:sz w:val="24"/>
        </w:rPr>
        <w:t>测量不确定度按照JJF 1059.1-2012《测量不确定度的评定与表示》的要求评定和表示。其他参考技术依据包括：</w:t>
      </w:r>
    </w:p>
    <w:p>
      <w:pPr>
        <w:adjustRightInd w:val="0"/>
        <w:snapToGrid w:val="0"/>
        <w:spacing w:line="300" w:lineRule="auto"/>
        <w:ind w:firstLine="480" w:firstLineChars="200"/>
        <w:rPr>
          <w:sz w:val="24"/>
        </w:rPr>
      </w:pPr>
      <w:bookmarkStart w:id="2" w:name="OLE_LINK11"/>
      <w:bookmarkStart w:id="3" w:name="OLE_LINK12"/>
      <w:r>
        <w:rPr>
          <w:rFonts w:hint="eastAsia"/>
          <w:sz w:val="24"/>
        </w:rPr>
        <w:t>JJF 1143—2006 混响室声学特性校准规范</w:t>
      </w:r>
      <w:bookmarkEnd w:id="2"/>
      <w:bookmarkEnd w:id="3"/>
    </w:p>
    <w:p>
      <w:pPr>
        <w:adjustRightInd w:val="0"/>
        <w:snapToGrid w:val="0"/>
        <w:spacing w:line="300" w:lineRule="auto"/>
        <w:ind w:firstLine="480" w:firstLineChars="200"/>
        <w:rPr>
          <w:sz w:val="24"/>
        </w:rPr>
      </w:pPr>
      <w:r>
        <w:rPr>
          <w:rFonts w:hint="eastAsia"/>
          <w:sz w:val="24"/>
        </w:rPr>
        <w:t>GB/T 51091—2015试听室工程技术规范</w:t>
      </w:r>
    </w:p>
    <w:p>
      <w:pPr>
        <w:adjustRightInd w:val="0"/>
        <w:snapToGrid w:val="0"/>
        <w:spacing w:line="300" w:lineRule="auto"/>
        <w:ind w:firstLine="480" w:firstLineChars="200"/>
        <w:rPr>
          <w:sz w:val="24"/>
        </w:rPr>
      </w:pPr>
      <w:r>
        <w:rPr>
          <w:rFonts w:hint="eastAsia"/>
          <w:sz w:val="24"/>
        </w:rPr>
        <w:t>GB/T 6881.1—2002 声学 声压法测定噪声源声功率级 混响室精密法</w:t>
      </w:r>
    </w:p>
    <w:p>
      <w:pPr>
        <w:adjustRightInd w:val="0"/>
        <w:snapToGrid w:val="0"/>
        <w:spacing w:line="300" w:lineRule="auto"/>
        <w:ind w:firstLine="480" w:firstLineChars="200"/>
        <w:rPr>
          <w:sz w:val="24"/>
        </w:rPr>
      </w:pPr>
      <w:bookmarkStart w:id="4" w:name="OLE_LINK14"/>
      <w:bookmarkStart w:id="5" w:name="OLE_LINK26"/>
      <w:bookmarkStart w:id="6" w:name="OLE_LINK13"/>
      <w:r>
        <w:rPr>
          <w:rFonts w:hint="eastAsia"/>
          <w:sz w:val="24"/>
        </w:rPr>
        <w:t>GB/T 12060.13—2011</w:t>
      </w:r>
      <w:bookmarkEnd w:id="4"/>
      <w:bookmarkEnd w:id="5"/>
      <w:bookmarkEnd w:id="6"/>
      <w:r>
        <w:rPr>
          <w:rFonts w:hint="eastAsia"/>
          <w:sz w:val="24"/>
        </w:rPr>
        <w:t>声系统设备 第13部分：扬声器听音试验</w:t>
      </w:r>
    </w:p>
    <w:p>
      <w:pPr>
        <w:adjustRightInd w:val="0"/>
        <w:snapToGrid w:val="0"/>
        <w:spacing w:line="300" w:lineRule="auto"/>
        <w:ind w:firstLine="480" w:firstLineChars="200"/>
        <w:rPr>
          <w:sz w:val="24"/>
        </w:rPr>
      </w:pPr>
      <w:bookmarkStart w:id="7" w:name="OLE_LINK18"/>
      <w:bookmarkStart w:id="8" w:name="OLE_LINK17"/>
      <w:r>
        <w:rPr>
          <w:rFonts w:hint="eastAsia"/>
          <w:sz w:val="24"/>
        </w:rPr>
        <w:t>GB/T 19889.4—2005</w:t>
      </w:r>
      <w:bookmarkEnd w:id="7"/>
      <w:bookmarkEnd w:id="8"/>
      <w:r>
        <w:rPr>
          <w:rFonts w:hint="eastAsia"/>
          <w:sz w:val="24"/>
        </w:rPr>
        <w:t xml:space="preserve"> 声学 建筑和建筑构件隔声测量 第4部分 房间之间空气声隔声的现场测量</w:t>
      </w:r>
    </w:p>
    <w:p>
      <w:pPr>
        <w:adjustRightInd w:val="0"/>
        <w:snapToGrid w:val="0"/>
        <w:spacing w:line="300" w:lineRule="auto"/>
        <w:ind w:firstLine="480" w:firstLineChars="200"/>
        <w:rPr>
          <w:sz w:val="24"/>
        </w:rPr>
      </w:pPr>
      <w:bookmarkStart w:id="9" w:name="OLE_LINK21"/>
      <w:r>
        <w:rPr>
          <w:rFonts w:hint="eastAsia"/>
          <w:sz w:val="24"/>
        </w:rPr>
        <w:t>GB/T 19889.7—2022</w:t>
      </w:r>
      <w:bookmarkEnd w:id="9"/>
      <w:r>
        <w:rPr>
          <w:rFonts w:hint="eastAsia"/>
          <w:sz w:val="24"/>
        </w:rPr>
        <w:t xml:space="preserve"> 声学 建筑和建筑构件隔声测量 第7部分 撞击声隔声的现场测量</w:t>
      </w:r>
    </w:p>
    <w:p>
      <w:pPr>
        <w:adjustRightInd w:val="0"/>
        <w:snapToGrid w:val="0"/>
        <w:spacing w:line="300" w:lineRule="auto"/>
        <w:ind w:firstLine="480" w:firstLineChars="200"/>
        <w:rPr>
          <w:sz w:val="24"/>
        </w:rPr>
      </w:pPr>
      <w:bookmarkStart w:id="10" w:name="OLE_LINK24"/>
      <w:bookmarkStart w:id="11" w:name="OLE_LINK25"/>
      <w:r>
        <w:rPr>
          <w:rFonts w:hint="eastAsia"/>
          <w:sz w:val="24"/>
        </w:rPr>
        <w:t>IEC/TR 60268-13:1998</w:t>
      </w:r>
      <w:bookmarkEnd w:id="10"/>
      <w:bookmarkEnd w:id="11"/>
      <w:r>
        <w:rPr>
          <w:rFonts w:hint="eastAsia"/>
          <w:sz w:val="24"/>
        </w:rPr>
        <w:t xml:space="preserve"> Sound system equipment - Part 13: Listening tests on loudspeakers</w:t>
      </w:r>
    </w:p>
    <w:p>
      <w:pPr>
        <w:spacing w:line="400" w:lineRule="exact"/>
        <w:ind w:firstLine="480" w:firstLineChars="200"/>
        <w:rPr>
          <w:sz w:val="24"/>
        </w:rPr>
      </w:pPr>
      <w:r>
        <w:rPr>
          <w:rFonts w:hint="eastAsia"/>
          <w:sz w:val="24"/>
        </w:rPr>
        <w:t>本</w:t>
      </w:r>
      <w:r>
        <w:rPr>
          <w:sz w:val="24"/>
        </w:rPr>
        <w:t>规范中主要规定了试听室的混响时间、声压级均匀性、背景噪声、隔声量及撞击声压级等声学计量特性。</w:t>
      </w:r>
    </w:p>
    <w:p>
      <w:pPr>
        <w:numPr>
          <w:ilvl w:val="0"/>
          <w:numId w:val="1"/>
        </w:numPr>
        <w:spacing w:before="156" w:beforeLines="50" w:after="156" w:afterLines="50" w:line="480" w:lineRule="exact"/>
        <w:rPr>
          <w:rFonts w:ascii="黑体" w:hAnsi="宋体" w:eastAsia="黑体"/>
          <w:b/>
          <w:sz w:val="24"/>
        </w:rPr>
      </w:pPr>
      <w:bookmarkStart w:id="12" w:name="OLE_LINK1"/>
      <w:r>
        <w:rPr>
          <w:rFonts w:hint="eastAsia" w:ascii="黑体" w:hAnsi="宋体" w:eastAsia="黑体"/>
          <w:b/>
          <w:sz w:val="24"/>
        </w:rPr>
        <w:t>技术规范制定的工作过程</w:t>
      </w:r>
    </w:p>
    <w:p>
      <w:pPr>
        <w:spacing w:line="400" w:lineRule="exact"/>
        <w:ind w:firstLine="480" w:firstLineChars="200"/>
        <w:rPr>
          <w:sz w:val="24"/>
        </w:rPr>
      </w:pPr>
      <w:r>
        <w:rPr>
          <w:sz w:val="24"/>
        </w:rPr>
        <w:t xml:space="preserve">(1) </w:t>
      </w:r>
      <w:r>
        <w:rPr>
          <w:rFonts w:hint="eastAsia"/>
          <w:sz w:val="24"/>
        </w:rPr>
        <w:t>2024年8月通过全国声学技术委员会立项评审；</w:t>
      </w:r>
    </w:p>
    <w:p>
      <w:pPr>
        <w:spacing w:line="400" w:lineRule="exact"/>
        <w:ind w:firstLine="480" w:firstLineChars="200"/>
        <w:rPr>
          <w:sz w:val="24"/>
        </w:rPr>
      </w:pPr>
      <w:r>
        <w:rPr>
          <w:sz w:val="24"/>
        </w:rPr>
        <w:t xml:space="preserve">(2) </w:t>
      </w:r>
      <w:r>
        <w:rPr>
          <w:rFonts w:hint="eastAsia"/>
          <w:sz w:val="24"/>
        </w:rPr>
        <w:t>2025年5月收到市场监管总局的立项通知，成立规范编制小组；</w:t>
      </w:r>
    </w:p>
    <w:p>
      <w:pPr>
        <w:tabs>
          <w:tab w:val="left" w:pos="540"/>
        </w:tabs>
        <w:spacing w:line="400" w:lineRule="exact"/>
        <w:ind w:firstLine="480" w:firstLineChars="200"/>
        <w:rPr>
          <w:sz w:val="24"/>
        </w:rPr>
      </w:pPr>
      <w:r>
        <w:rPr>
          <w:sz w:val="24"/>
        </w:rPr>
        <w:t xml:space="preserve">(3) </w:t>
      </w:r>
      <w:r>
        <w:rPr>
          <w:rFonts w:hint="eastAsia"/>
          <w:sz w:val="24"/>
        </w:rPr>
        <w:t>2025年6月~12月，完成试听室声学特性测试技术规范的调研，明确主要计量特性；</w:t>
      </w:r>
    </w:p>
    <w:p>
      <w:pPr>
        <w:tabs>
          <w:tab w:val="left" w:pos="540"/>
        </w:tabs>
        <w:spacing w:line="400" w:lineRule="exact"/>
        <w:ind w:firstLine="480" w:firstLineChars="200"/>
        <w:rPr>
          <w:sz w:val="24"/>
        </w:rPr>
      </w:pPr>
      <w:r>
        <w:rPr>
          <w:rFonts w:hint="eastAsia"/>
          <w:sz w:val="24"/>
        </w:rPr>
        <w:t>(4) 2026年1月~6月，起草“试听室声学特性测试技术规范”内部讨论稿，进行试验测试，并形成征求意见稿；</w:t>
      </w:r>
    </w:p>
    <w:p>
      <w:pPr>
        <w:tabs>
          <w:tab w:val="left" w:pos="540"/>
        </w:tabs>
        <w:spacing w:line="400" w:lineRule="exact"/>
        <w:ind w:firstLine="480" w:firstLineChars="200"/>
        <w:rPr>
          <w:sz w:val="24"/>
        </w:rPr>
      </w:pPr>
      <w:r>
        <w:rPr>
          <w:rFonts w:hint="eastAsia"/>
          <w:sz w:val="24"/>
        </w:rPr>
        <w:t>(5) 2026年7月14日，参加全国声学计量技术委员会组织的预审会</w:t>
      </w:r>
      <w:r>
        <w:rPr>
          <w:rFonts w:hint="eastAsia"/>
          <w:sz w:val="24"/>
          <w:lang w:eastAsia="zh-CN"/>
        </w:rPr>
        <w:t>，本规范草案通过预审，按照评审专家的意见进行修改，形成征求意见稿</w:t>
      </w:r>
      <w:r>
        <w:rPr>
          <w:rFonts w:hint="eastAsia"/>
          <w:sz w:val="24"/>
        </w:rPr>
        <w:t>。</w:t>
      </w:r>
    </w:p>
    <w:p>
      <w:pPr>
        <w:spacing w:before="156" w:beforeLines="50" w:after="156" w:afterLines="50" w:line="480" w:lineRule="exact"/>
        <w:rPr>
          <w:rFonts w:ascii="黑体" w:hAnsi="宋体" w:eastAsia="黑体"/>
          <w:b/>
          <w:sz w:val="24"/>
        </w:rPr>
      </w:pPr>
      <w:r>
        <w:rPr>
          <w:rFonts w:hint="eastAsia" w:ascii="黑体" w:hAnsi="宋体" w:eastAsia="黑体"/>
          <w:b/>
          <w:sz w:val="24"/>
        </w:rPr>
        <w:t>4</w:t>
      </w:r>
      <w:r>
        <w:rPr>
          <w:rFonts w:ascii="黑体" w:hAnsi="宋体" w:eastAsia="黑体"/>
          <w:b/>
          <w:sz w:val="24"/>
        </w:rPr>
        <w:t xml:space="preserve"> </w:t>
      </w:r>
      <w:r>
        <w:rPr>
          <w:rFonts w:hint="eastAsia" w:ascii="黑体" w:hAnsi="宋体" w:eastAsia="黑体"/>
          <w:b/>
          <w:sz w:val="24"/>
        </w:rPr>
        <w:t>关于制定技术规范的说明</w:t>
      </w:r>
    </w:p>
    <w:p>
      <w:pPr>
        <w:pStyle w:val="9"/>
        <w:spacing w:line="400" w:lineRule="exact"/>
        <w:ind w:firstLine="482"/>
        <w:rPr>
          <w:sz w:val="24"/>
        </w:rPr>
      </w:pPr>
      <w:r>
        <w:rPr>
          <w:rFonts w:hint="eastAsia" w:ascii="黑体" w:hAnsi="宋体" w:eastAsia="黑体"/>
          <w:b/>
          <w:sz w:val="24"/>
        </w:rPr>
        <w:t xml:space="preserve"> </w:t>
      </w:r>
      <w:r>
        <w:rPr>
          <w:rFonts w:hint="eastAsia"/>
          <w:sz w:val="24"/>
        </w:rPr>
        <w:t>本规范第5章给出了</w:t>
      </w:r>
      <w:r>
        <w:rPr>
          <w:sz w:val="24"/>
        </w:rPr>
        <w:t>混响时间、声压级均匀性、背景噪声、隔声</w:t>
      </w:r>
      <w:r>
        <w:rPr>
          <w:rFonts w:hint="eastAsia"/>
          <w:sz w:val="24"/>
          <w:lang w:eastAsia="zh-CN"/>
        </w:rPr>
        <w:t>性能</w:t>
      </w:r>
      <w:r>
        <w:rPr>
          <w:sz w:val="24"/>
        </w:rPr>
        <w:t>、撞击声压级</w:t>
      </w:r>
      <w:r>
        <w:rPr>
          <w:rFonts w:hint="eastAsia"/>
          <w:sz w:val="24"/>
        </w:rPr>
        <w:t>5个计量性能测试项目，</w:t>
      </w:r>
      <w:r>
        <w:rPr>
          <w:sz w:val="24"/>
        </w:rPr>
        <w:t>在形成“征求意见稿”的过程中，起草组着重对以下问题进行了讨论：</w:t>
      </w:r>
    </w:p>
    <w:p>
      <w:pPr>
        <w:pStyle w:val="9"/>
        <w:spacing w:line="400" w:lineRule="exact"/>
        <w:ind w:firstLine="480"/>
        <w:rPr>
          <w:sz w:val="24"/>
        </w:rPr>
      </w:pPr>
      <w:r>
        <w:rPr>
          <w:sz w:val="24"/>
        </w:rPr>
        <w:t>第一，关于测试频率范围的确定。起草组经讨论认为，试听室主要用于电声产品音质评价和语音识别测试，测试频率范围应覆盖人耳可听声的主要频段，结合现有相关标准（如</w:t>
      </w:r>
      <w:bookmarkStart w:id="13" w:name="OLE_LINK29"/>
      <w:r>
        <w:rPr>
          <w:sz w:val="24"/>
        </w:rPr>
        <w:t>JJF 1143</w:t>
      </w:r>
      <w:r>
        <w:rPr>
          <w:rFonts w:hint="eastAsia"/>
          <w:sz w:val="24"/>
        </w:rPr>
        <w:t>—</w:t>
      </w:r>
      <w:r>
        <w:rPr>
          <w:sz w:val="24"/>
        </w:rPr>
        <w:t>2006</w:t>
      </w:r>
      <w:bookmarkEnd w:id="13"/>
      <w:bookmarkStart w:id="14" w:name="OLE_LINK16"/>
      <w:bookmarkStart w:id="15" w:name="OLE_LINK15"/>
      <w:r>
        <w:rPr>
          <w:sz w:val="24"/>
        </w:rPr>
        <w:t>的</w:t>
      </w:r>
      <w:bookmarkStart w:id="16" w:name="OLE_LINK20"/>
      <w:bookmarkStart w:id="17" w:name="OLE_LINK19"/>
      <w:r>
        <w:rPr>
          <w:rFonts w:hint="eastAsia"/>
          <w:sz w:val="24"/>
        </w:rPr>
        <w:t>主要</w:t>
      </w:r>
      <w:r>
        <w:rPr>
          <w:sz w:val="24"/>
        </w:rPr>
        <w:t>频率范围为</w:t>
      </w:r>
      <w:r>
        <w:rPr>
          <w:rFonts w:hint="eastAsia"/>
          <w:sz w:val="24"/>
        </w:rPr>
        <w:t>100</w:t>
      </w:r>
      <w:r>
        <w:rPr>
          <w:sz w:val="24"/>
        </w:rPr>
        <w:t xml:space="preserve"> Hz～</w:t>
      </w:r>
      <w:r>
        <w:rPr>
          <w:rFonts w:hint="eastAsia"/>
          <w:sz w:val="24"/>
        </w:rPr>
        <w:t>8</w:t>
      </w:r>
      <w:r>
        <w:rPr>
          <w:sz w:val="24"/>
        </w:rPr>
        <w:t xml:space="preserve"> kHz</w:t>
      </w:r>
      <w:bookmarkEnd w:id="14"/>
      <w:bookmarkEnd w:id="15"/>
      <w:bookmarkEnd w:id="16"/>
      <w:bookmarkEnd w:id="17"/>
      <w:r>
        <w:rPr>
          <w:rFonts w:hint="eastAsia"/>
          <w:sz w:val="24"/>
        </w:rPr>
        <w:t>、</w:t>
      </w:r>
      <w:r>
        <w:rPr>
          <w:sz w:val="24"/>
        </w:rPr>
        <w:t>JJF 1191-2019的频率范围为125 Hz～</w:t>
      </w:r>
      <w:r>
        <w:rPr>
          <w:rFonts w:hint="eastAsia"/>
          <w:sz w:val="24"/>
        </w:rPr>
        <w:t>8</w:t>
      </w:r>
      <w:r>
        <w:rPr>
          <w:sz w:val="24"/>
        </w:rPr>
        <w:t xml:space="preserve"> kHz</w:t>
      </w:r>
      <w:r>
        <w:rPr>
          <w:rFonts w:hint="eastAsia"/>
          <w:sz w:val="24"/>
        </w:rPr>
        <w:t>、GB/T 12060.13—2011</w:t>
      </w:r>
      <w:r>
        <w:rPr>
          <w:sz w:val="24"/>
        </w:rPr>
        <w:t>的频率范围为</w:t>
      </w:r>
      <w:r>
        <w:rPr>
          <w:rFonts w:hint="eastAsia"/>
          <w:sz w:val="24"/>
        </w:rPr>
        <w:t>63</w:t>
      </w:r>
      <w:r>
        <w:rPr>
          <w:sz w:val="24"/>
        </w:rPr>
        <w:t xml:space="preserve"> Hz～</w:t>
      </w:r>
      <w:r>
        <w:rPr>
          <w:rFonts w:hint="eastAsia"/>
          <w:sz w:val="24"/>
        </w:rPr>
        <w:t>8</w:t>
      </w:r>
      <w:r>
        <w:rPr>
          <w:sz w:val="24"/>
        </w:rPr>
        <w:t xml:space="preserve"> kHz</w:t>
      </w:r>
      <w:r>
        <w:rPr>
          <w:rFonts w:hint="eastAsia"/>
          <w:sz w:val="24"/>
        </w:rPr>
        <w:t>、GB/T 19889.4—2005</w:t>
      </w:r>
      <w:bookmarkStart w:id="18" w:name="OLE_LINK23"/>
      <w:bookmarkStart w:id="19" w:name="OLE_LINK22"/>
      <w:r>
        <w:rPr>
          <w:rFonts w:hint="eastAsia"/>
          <w:sz w:val="24"/>
        </w:rPr>
        <w:t>的</w:t>
      </w:r>
      <w:r>
        <w:rPr>
          <w:sz w:val="24"/>
        </w:rPr>
        <w:t>频率范围为</w:t>
      </w:r>
      <w:r>
        <w:rPr>
          <w:rFonts w:hint="eastAsia"/>
          <w:sz w:val="24"/>
        </w:rPr>
        <w:t>100</w:t>
      </w:r>
      <w:r>
        <w:rPr>
          <w:sz w:val="24"/>
        </w:rPr>
        <w:t xml:space="preserve"> Hz～</w:t>
      </w:r>
      <w:r>
        <w:rPr>
          <w:rFonts w:hint="eastAsia"/>
          <w:sz w:val="24"/>
        </w:rPr>
        <w:t>5</w:t>
      </w:r>
      <w:r>
        <w:rPr>
          <w:sz w:val="24"/>
        </w:rPr>
        <w:t xml:space="preserve"> kHz</w:t>
      </w:r>
      <w:bookmarkEnd w:id="18"/>
      <w:bookmarkEnd w:id="19"/>
      <w:r>
        <w:rPr>
          <w:rFonts w:hint="eastAsia"/>
          <w:sz w:val="24"/>
        </w:rPr>
        <w:t>、GB/T 19889.7—2022的</w:t>
      </w:r>
      <w:r>
        <w:rPr>
          <w:sz w:val="24"/>
        </w:rPr>
        <w:t>频率范围为</w:t>
      </w:r>
      <w:r>
        <w:rPr>
          <w:rFonts w:hint="eastAsia"/>
          <w:sz w:val="24"/>
        </w:rPr>
        <w:t>100</w:t>
      </w:r>
      <w:r>
        <w:rPr>
          <w:sz w:val="24"/>
        </w:rPr>
        <w:t xml:space="preserve"> Hz～</w:t>
      </w:r>
      <w:r>
        <w:rPr>
          <w:rFonts w:hint="eastAsia"/>
          <w:sz w:val="24"/>
        </w:rPr>
        <w:t>5</w:t>
      </w:r>
      <w:r>
        <w:rPr>
          <w:sz w:val="24"/>
        </w:rPr>
        <w:t xml:space="preserve"> kHz），本规范将测试频率范围确定为100 Hz～8000 Hz（混响时间、声压级均匀性）及100 Hz～5000 Hz（隔声量、撞击声压级），既满足试听室主要使用需求，又与现有技术体系相协调。</w:t>
      </w:r>
    </w:p>
    <w:p>
      <w:pPr>
        <w:pStyle w:val="9"/>
        <w:spacing w:line="400" w:lineRule="exact"/>
        <w:ind w:firstLine="480"/>
        <w:rPr>
          <w:sz w:val="24"/>
        </w:rPr>
      </w:pPr>
      <w:r>
        <w:rPr>
          <w:sz w:val="24"/>
        </w:rPr>
        <w:t>第二，关于混响时间技术要求的制定。起草组调研了国内外相关标准（如IEC/TR 60268-13:1998、</w:t>
      </w:r>
      <w:r>
        <w:rPr>
          <w:rFonts w:hint="eastAsia"/>
          <w:sz w:val="24"/>
        </w:rPr>
        <w:t>GB/T 12060.13—2011、</w:t>
      </w:r>
      <w:r>
        <w:rPr>
          <w:sz w:val="24"/>
        </w:rPr>
        <w:t>GB/T 51091-2015等），结合试听室的实际使用场景，规定了200 Hz～4000 Hz平均混响时间一般不超出0.30 s～0.60 s等技术要求。</w:t>
      </w:r>
      <w:r>
        <w:rPr>
          <w:rFonts w:hint="eastAsia"/>
          <w:sz w:val="24"/>
        </w:rPr>
        <w:t>考虑至一些使用方的定制需求，</w:t>
      </w:r>
      <w:r>
        <w:rPr>
          <w:sz w:val="24"/>
        </w:rPr>
        <w:t>起草组同时注明，</w:t>
      </w:r>
      <w:r>
        <w:rPr>
          <w:rFonts w:hint="eastAsia"/>
          <w:sz w:val="24"/>
        </w:rPr>
        <w:t>混响时间的技术要求也可由厂家给出</w:t>
      </w:r>
      <w:r>
        <w:rPr>
          <w:sz w:val="24"/>
        </w:rPr>
        <w:t>。</w:t>
      </w:r>
    </w:p>
    <w:p>
      <w:pPr>
        <w:pStyle w:val="9"/>
        <w:spacing w:line="400" w:lineRule="exact"/>
        <w:ind w:firstLine="480"/>
        <w:rPr>
          <w:sz w:val="24"/>
        </w:rPr>
      </w:pPr>
      <w:r>
        <w:rPr>
          <w:sz w:val="24"/>
        </w:rPr>
        <w:t>第三，关于声压级均匀性测试方法的确定。起草组经讨论认为，声压级均匀性是评价试听室内声场分布均匀程度的重要指标。起草组参照JJF 1143</w:t>
      </w:r>
      <w:r>
        <w:rPr>
          <w:rFonts w:hint="eastAsia"/>
          <w:sz w:val="24"/>
        </w:rPr>
        <w:t>—</w:t>
      </w:r>
      <w:r>
        <w:rPr>
          <w:sz w:val="24"/>
        </w:rPr>
        <w:t>2006的</w:t>
      </w:r>
      <w:r>
        <w:rPr>
          <w:rFonts w:hint="eastAsia"/>
          <w:sz w:val="24"/>
        </w:rPr>
        <w:t>测试方法</w:t>
      </w:r>
      <w:r>
        <w:rPr>
          <w:sz w:val="24"/>
        </w:rPr>
        <w:t>，</w:t>
      </w:r>
      <w:r>
        <w:rPr>
          <w:rFonts w:hint="eastAsia"/>
          <w:sz w:val="24"/>
        </w:rPr>
        <w:t>考虑到试听室的声场设计与应用目的与混响室差异性，并结合实际测试中的实例，采用混响室声压级均匀性允差的1.5倍~2倍之间</w:t>
      </w:r>
      <w:r>
        <w:rPr>
          <w:sz w:val="24"/>
        </w:rPr>
        <w:t>。</w:t>
      </w:r>
    </w:p>
    <w:p>
      <w:pPr>
        <w:pStyle w:val="9"/>
        <w:spacing w:line="400" w:lineRule="exact"/>
        <w:ind w:firstLine="480"/>
        <w:rPr>
          <w:sz w:val="24"/>
        </w:rPr>
      </w:pPr>
      <w:r>
        <w:rPr>
          <w:sz w:val="24"/>
        </w:rPr>
        <w:t>第四，关于</w:t>
      </w:r>
      <w:r>
        <w:rPr>
          <w:rFonts w:hint="eastAsia"/>
          <w:sz w:val="24"/>
        </w:rPr>
        <w:t>标准化声压级差</w:t>
      </w:r>
      <w:r>
        <w:rPr>
          <w:sz w:val="24"/>
        </w:rPr>
        <w:t>和撞击声压级测试方法的讨论。起草组参照GB/T 19889.</w:t>
      </w:r>
      <w:r>
        <w:rPr>
          <w:rFonts w:hint="eastAsia"/>
          <w:sz w:val="24"/>
          <w:lang w:val="en-US" w:eastAsia="zh-CN"/>
        </w:rPr>
        <w:t>1</w:t>
      </w:r>
      <w:r>
        <w:rPr>
          <w:sz w:val="24"/>
        </w:rPr>
        <w:t>和GB/T 19889.7的相关方法，确定了试听室与观察室间的</w:t>
      </w:r>
      <w:r>
        <w:rPr>
          <w:rFonts w:hint="eastAsia"/>
          <w:sz w:val="24"/>
        </w:rPr>
        <w:t>标准化声压级差</w:t>
      </w:r>
      <w:r>
        <w:rPr>
          <w:sz w:val="24"/>
        </w:rPr>
        <w:t>以及顶部楼板撞击声压级的测试方法。起草组</w:t>
      </w:r>
      <w:r>
        <w:rPr>
          <w:rFonts w:hint="eastAsia"/>
          <w:sz w:val="24"/>
        </w:rPr>
        <w:t>经现场试验与讨论</w:t>
      </w:r>
      <w:r>
        <w:rPr>
          <w:sz w:val="24"/>
        </w:rPr>
        <w:t>认为，这两个参数对于评价试听室的隔声性能和楼上噪声对试听室的影响具有</w:t>
      </w:r>
      <w:r>
        <w:rPr>
          <w:rFonts w:hint="eastAsia"/>
          <w:sz w:val="24"/>
        </w:rPr>
        <w:t>一定的</w:t>
      </w:r>
      <w:r>
        <w:rPr>
          <w:sz w:val="24"/>
        </w:rPr>
        <w:t>意义</w:t>
      </w:r>
      <w:r>
        <w:rPr>
          <w:rFonts w:hint="eastAsia"/>
          <w:sz w:val="24"/>
        </w:rPr>
        <w:t>，但因易受现场实验环境的限制，很难在现场获得准确的试验数据，撞击声试验更是受制于楼上环境，难以进行试验，考虑保留试验方法，</w:t>
      </w:r>
      <w:bookmarkStart w:id="20" w:name="_GoBack"/>
      <w:bookmarkEnd w:id="20"/>
      <w:r>
        <w:rPr>
          <w:rFonts w:hint="eastAsia"/>
          <w:sz w:val="24"/>
        </w:rPr>
        <w:t>做适用性测试要求</w:t>
      </w:r>
      <w:r>
        <w:rPr>
          <w:sz w:val="24"/>
        </w:rPr>
        <w:t>。</w:t>
      </w:r>
    </w:p>
    <w:p>
      <w:pPr>
        <w:pStyle w:val="9"/>
        <w:spacing w:line="400" w:lineRule="exact"/>
        <w:ind w:firstLine="480"/>
        <w:rPr>
          <w:sz w:val="24"/>
        </w:rPr>
      </w:pPr>
    </w:p>
    <w:p>
      <w:pPr>
        <w:pStyle w:val="8"/>
        <w:ind w:left="360" w:firstLine="0" w:firstLineChars="0"/>
        <w:jc w:val="right"/>
        <w:rPr>
          <w:sz w:val="24"/>
        </w:rPr>
      </w:pPr>
    </w:p>
    <w:bookmarkEnd w:id="12"/>
    <w:p>
      <w:pPr>
        <w:jc w:val="right"/>
      </w:pPr>
      <w:r>
        <w:rPr>
          <w:rFonts w:hint="eastAsia"/>
          <w:sz w:val="24"/>
        </w:rPr>
        <w:t>《试听室测试技术规范》编制组</w:t>
      </w:r>
      <w:r>
        <w:rPr>
          <w:sz w:val="24"/>
        </w:rPr>
        <w:t xml:space="preserve">  20</w:t>
      </w:r>
      <w:r>
        <w:rPr>
          <w:rFonts w:hint="eastAsia"/>
          <w:sz w:val="24"/>
        </w:rPr>
        <w:t>26</w:t>
      </w:r>
      <w:r>
        <w:rPr>
          <w:sz w:val="24"/>
        </w:rPr>
        <w:t>.</w:t>
      </w:r>
      <w:r>
        <w:rPr>
          <w:rFonts w:hint="eastAsia"/>
          <w:sz w:val="24"/>
        </w:rPr>
        <w:t>6.28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E236BD"/>
    <w:multiLevelType w:val="multilevel"/>
    <w:tmpl w:val="41E236BD"/>
    <w:lvl w:ilvl="0" w:tentative="0">
      <w:start w:val="1"/>
      <w:numFmt w:val="decimal"/>
      <w:lvlText w:val="%1"/>
      <w:lvlJc w:val="left"/>
      <w:pPr>
        <w:tabs>
          <w:tab w:val="left" w:pos="360"/>
        </w:tabs>
        <w:ind w:left="360" w:hanging="360"/>
      </w:pPr>
      <w:rPr>
        <w:rFonts w:hint="default" w:cs="Times New Roman"/>
      </w:rPr>
    </w:lvl>
    <w:lvl w:ilvl="1" w:tentative="0">
      <w:start w:val="1"/>
      <w:numFmt w:val="decimal"/>
      <w:isLgl/>
      <w:lvlText w:val="%1.%2"/>
      <w:lvlJc w:val="left"/>
      <w:pPr>
        <w:tabs>
          <w:tab w:val="left" w:pos="480"/>
        </w:tabs>
        <w:ind w:left="480" w:hanging="480"/>
      </w:pPr>
      <w:rPr>
        <w:rFonts w:hint="default" w:cs="Times New Roman"/>
      </w:rPr>
    </w:lvl>
    <w:lvl w:ilvl="2" w:tentative="0">
      <w:start w:val="1"/>
      <w:numFmt w:val="decimal"/>
      <w:isLgl/>
      <w:lvlText w:val="%1.%2.%3"/>
      <w:lvlJc w:val="left"/>
      <w:pPr>
        <w:tabs>
          <w:tab w:val="left" w:pos="720"/>
        </w:tabs>
        <w:ind w:left="720" w:hanging="720"/>
      </w:pPr>
      <w:rPr>
        <w:rFonts w:hint="default" w:cs="Times New Roman"/>
      </w:rPr>
    </w:lvl>
    <w:lvl w:ilvl="3" w:tentative="0">
      <w:start w:val="1"/>
      <w:numFmt w:val="decimal"/>
      <w:isLgl/>
      <w:lvlText w:val="%1.%2.%3.%4"/>
      <w:lvlJc w:val="left"/>
      <w:pPr>
        <w:tabs>
          <w:tab w:val="left" w:pos="1080"/>
        </w:tabs>
        <w:ind w:left="1080" w:hanging="1080"/>
      </w:pPr>
      <w:rPr>
        <w:rFonts w:hint="default" w:cs="Times New Roman"/>
      </w:rPr>
    </w:lvl>
    <w:lvl w:ilvl="4" w:tentative="0">
      <w:start w:val="1"/>
      <w:numFmt w:val="decimal"/>
      <w:isLgl/>
      <w:lvlText w:val="%1.%2.%3.%4.%5"/>
      <w:lvlJc w:val="left"/>
      <w:pPr>
        <w:tabs>
          <w:tab w:val="left" w:pos="1080"/>
        </w:tabs>
        <w:ind w:left="1080" w:hanging="1080"/>
      </w:pPr>
      <w:rPr>
        <w:rFonts w:hint="default" w:cs="Times New Roman"/>
      </w:rPr>
    </w:lvl>
    <w:lvl w:ilvl="5" w:tentative="0">
      <w:start w:val="1"/>
      <w:numFmt w:val="decimal"/>
      <w:isLgl/>
      <w:lvlText w:val="%1.%2.%3.%4.%5.%6"/>
      <w:lvlJc w:val="left"/>
      <w:pPr>
        <w:tabs>
          <w:tab w:val="left" w:pos="1440"/>
        </w:tabs>
        <w:ind w:left="1440" w:hanging="1440"/>
      </w:pPr>
      <w:rPr>
        <w:rFonts w:hint="default" w:cs="Times New Roman"/>
      </w:rPr>
    </w:lvl>
    <w:lvl w:ilvl="6" w:tentative="0">
      <w:start w:val="1"/>
      <w:numFmt w:val="decimal"/>
      <w:isLgl/>
      <w:lvlText w:val="%1.%2.%3.%4.%5.%6.%7"/>
      <w:lvlJc w:val="left"/>
      <w:pPr>
        <w:tabs>
          <w:tab w:val="left" w:pos="1800"/>
        </w:tabs>
        <w:ind w:left="1800" w:hanging="1800"/>
      </w:pPr>
      <w:rPr>
        <w:rFonts w:hint="default" w:cs="Times New Roman"/>
      </w:rPr>
    </w:lvl>
    <w:lvl w:ilvl="7" w:tentative="0">
      <w:start w:val="1"/>
      <w:numFmt w:val="decimal"/>
      <w:isLgl/>
      <w:lvlText w:val="%1.%2.%3.%4.%5.%6.%7.%8"/>
      <w:lvlJc w:val="left"/>
      <w:pPr>
        <w:tabs>
          <w:tab w:val="left" w:pos="1800"/>
        </w:tabs>
        <w:ind w:left="1800" w:hanging="1800"/>
      </w:pPr>
      <w:rPr>
        <w:rFonts w:hint="default" w:cs="Times New Roman"/>
      </w:rPr>
    </w:lvl>
    <w:lvl w:ilvl="8" w:tentative="0">
      <w:start w:val="1"/>
      <w:numFmt w:val="decimal"/>
      <w:isLgl/>
      <w:lvlText w:val="%1.%2.%3.%4.%5.%6.%7.%8.%9"/>
      <w:lvlJc w:val="left"/>
      <w:pPr>
        <w:tabs>
          <w:tab w:val="left" w:pos="2160"/>
        </w:tabs>
        <w:ind w:left="2160" w:hanging="2160"/>
      </w:pPr>
      <w:rPr>
        <w:rFonts w:hint="default"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08B"/>
    <w:rsid w:val="0000700E"/>
    <w:rsid w:val="000A38AD"/>
    <w:rsid w:val="000B0706"/>
    <w:rsid w:val="000C06E9"/>
    <w:rsid w:val="000C1793"/>
    <w:rsid w:val="000F3AE3"/>
    <w:rsid w:val="00125EF4"/>
    <w:rsid w:val="001C4464"/>
    <w:rsid w:val="001F10BF"/>
    <w:rsid w:val="001F6343"/>
    <w:rsid w:val="001F7B43"/>
    <w:rsid w:val="002863D7"/>
    <w:rsid w:val="00330578"/>
    <w:rsid w:val="00376940"/>
    <w:rsid w:val="003B1D1F"/>
    <w:rsid w:val="003C0A07"/>
    <w:rsid w:val="003D27F3"/>
    <w:rsid w:val="003E408B"/>
    <w:rsid w:val="0046432D"/>
    <w:rsid w:val="00480169"/>
    <w:rsid w:val="0049478A"/>
    <w:rsid w:val="00496628"/>
    <w:rsid w:val="004A512E"/>
    <w:rsid w:val="004C038D"/>
    <w:rsid w:val="004F06F4"/>
    <w:rsid w:val="00556FC4"/>
    <w:rsid w:val="005955C1"/>
    <w:rsid w:val="005C38A9"/>
    <w:rsid w:val="005C63D1"/>
    <w:rsid w:val="005D2634"/>
    <w:rsid w:val="005F46EC"/>
    <w:rsid w:val="006A0A32"/>
    <w:rsid w:val="006A6B88"/>
    <w:rsid w:val="007256D6"/>
    <w:rsid w:val="00791866"/>
    <w:rsid w:val="007B73F8"/>
    <w:rsid w:val="007E6230"/>
    <w:rsid w:val="008108FE"/>
    <w:rsid w:val="0089596B"/>
    <w:rsid w:val="008B188C"/>
    <w:rsid w:val="008C41B3"/>
    <w:rsid w:val="008E26D3"/>
    <w:rsid w:val="008E53A9"/>
    <w:rsid w:val="00937E50"/>
    <w:rsid w:val="00A87ACC"/>
    <w:rsid w:val="00AA47CF"/>
    <w:rsid w:val="00AB1B7B"/>
    <w:rsid w:val="00B45BFE"/>
    <w:rsid w:val="00B855CC"/>
    <w:rsid w:val="00BD6D94"/>
    <w:rsid w:val="00BD6F94"/>
    <w:rsid w:val="00C01311"/>
    <w:rsid w:val="00C349AC"/>
    <w:rsid w:val="00C36AE3"/>
    <w:rsid w:val="00C84E62"/>
    <w:rsid w:val="00CA22C3"/>
    <w:rsid w:val="00CB00E9"/>
    <w:rsid w:val="00D85DAA"/>
    <w:rsid w:val="00DC0E64"/>
    <w:rsid w:val="00DC1EC4"/>
    <w:rsid w:val="00DC2605"/>
    <w:rsid w:val="00E24714"/>
    <w:rsid w:val="00E76539"/>
    <w:rsid w:val="00E971D4"/>
    <w:rsid w:val="00F048CB"/>
    <w:rsid w:val="00F070CB"/>
    <w:rsid w:val="00F07B6D"/>
    <w:rsid w:val="00F5424C"/>
    <w:rsid w:val="00FB4BD9"/>
    <w:rsid w:val="00FE23CF"/>
    <w:rsid w:val="00FE2C15"/>
    <w:rsid w:val="00FF7FDA"/>
    <w:rsid w:val="01064D4B"/>
    <w:rsid w:val="03622E1A"/>
    <w:rsid w:val="12EE35E9"/>
    <w:rsid w:val="1B211099"/>
    <w:rsid w:val="31C40E2C"/>
    <w:rsid w:val="401A7503"/>
    <w:rsid w:val="4CD51B91"/>
    <w:rsid w:val="4EB30A05"/>
    <w:rsid w:val="6C9E34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sz w:val="18"/>
      <w:szCs w:val="18"/>
    </w:rPr>
  </w:style>
  <w:style w:type="character" w:customStyle="1" w:styleId="7">
    <w:name w:val="页脚 Char"/>
    <w:basedOn w:val="5"/>
    <w:link w:val="2"/>
    <w:qFormat/>
    <w:uiPriority w:val="99"/>
    <w:rPr>
      <w:sz w:val="18"/>
      <w:szCs w:val="18"/>
    </w:rPr>
  </w:style>
  <w:style w:type="paragraph" w:customStyle="1" w:styleId="8">
    <w:name w:val="列出段落1"/>
    <w:basedOn w:val="1"/>
    <w:qFormat/>
    <w:uiPriority w:val="99"/>
    <w:pPr>
      <w:ind w:firstLine="420" w:firstLineChars="200"/>
    </w:p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368</Words>
  <Characters>2104</Characters>
  <Lines>17</Lines>
  <Paragraphs>4</Paragraphs>
  <TotalTime>1</TotalTime>
  <ScaleCrop>false</ScaleCrop>
  <LinksUpToDate>false</LinksUpToDate>
  <CharactersWithSpaces>2468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2023-09-18T00:56:00Z</dcterms:created>
  <dc:creator>Microsoft</dc:creator>
  <cp:lastModifiedBy>ligz</cp:lastModifiedBy>
  <dcterms:modified xsi:type="dcterms:W3CDTF">2026-07-17T10:31:09Z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98911505D1BA4736A20629A75CBB656D</vt:lpwstr>
  </property>
</Properties>
</file>